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C96" w:rsidRDefault="00E30C96" w:rsidP="00E30C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MS Mincho" w:eastAsia="MS Mincho" w:hAnsi="MS Mincho" w:cs="MS Mincho" w:hint="eastAsia"/>
          <w:color w:val="000000"/>
        </w:rPr>
        <w:t> </w:t>
      </w:r>
      <w:r>
        <w:rPr>
          <w:rFonts w:ascii="Times New Roman" w:hAnsi="Times New Roman" w:cs="Times New Roman"/>
          <w:color w:val="000000"/>
        </w:rPr>
        <w:t>Preconception Nutrition</w:t>
      </w:r>
      <w:r>
        <w:rPr>
          <w:rFonts w:ascii="MS Mincho" w:eastAsia="MS Mincho" w:hAnsi="MS Mincho" w:cs="MS Mincho" w:hint="eastAsia"/>
          <w:color w:val="000000"/>
        </w:rPr>
        <w:t> </w:t>
      </w:r>
      <w:r>
        <w:rPr>
          <w:rFonts w:ascii="Times New Roman" w:hAnsi="Times New Roman" w:cs="Times New Roman"/>
          <w:color w:val="000000"/>
        </w:rPr>
        <w:t>p. 49-51, 56-69, 70-73, 79-83</w:t>
      </w:r>
    </w:p>
    <w:p w:rsidR="00E30C96" w:rsidRDefault="00E30C96" w:rsidP="00E30C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Key Concepts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Preconception period is included in Healthy People 2020 nutrition-related objectives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Fertility is effected by nutrition-related factors including: body fat, iron status, ETOH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There is a strong relationship between nutrient consumption/status during periconception and</w:t>
      </w:r>
    </w:p>
    <w:p w:rsidR="00E30C96" w:rsidRDefault="00E30C96" w:rsidP="00E30C9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conception </w:t>
      </w:r>
    </w:p>
    <w:p w:rsidR="00E30C96" w:rsidRDefault="00E30C96" w:rsidP="00E30C9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healthy pregnancy</w:t>
      </w:r>
    </w:p>
    <w:p w:rsidR="00E30C96" w:rsidRDefault="00E30C96" w:rsidP="00E30C9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robust newborn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Get in shape </w:t>
      </w:r>
      <w:r>
        <w:rPr>
          <w:rFonts w:ascii="Times New Roman" w:hAnsi="Times New Roman" w:cs="Times New Roman"/>
          <w:b/>
          <w:bCs/>
          <w:color w:val="000000"/>
        </w:rPr>
        <w:t>prior</w:t>
      </w:r>
      <w:r>
        <w:rPr>
          <w:rFonts w:ascii="Times New Roman" w:hAnsi="Times New Roman" w:cs="Times New Roman"/>
          <w:color w:val="000000"/>
        </w:rPr>
        <w:t xml:space="preserve"> to “the big game”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</w:rPr>
      </w:pP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</w:rPr>
      </w:pPr>
    </w:p>
    <w:p w:rsidR="00E30C96" w:rsidRDefault="00E30C96" w:rsidP="00E30C9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From </w:t>
      </w:r>
      <w:r>
        <w:rPr>
          <w:rFonts w:ascii="Times New Roman" w:hAnsi="Times New Roman" w:cs="Times New Roman"/>
          <w:b/>
          <w:bCs/>
          <w:color w:val="000000"/>
        </w:rPr>
        <w:t>Table 2.3</w:t>
      </w:r>
      <w:r>
        <w:rPr>
          <w:rFonts w:ascii="Times New Roman" w:hAnsi="Times New Roman" w:cs="Times New Roman"/>
          <w:color w:val="000000"/>
        </w:rPr>
        <w:t xml:space="preserve"> Factors related to altered fertility in women and men2,4,12,13–15</w:t>
      </w:r>
    </w:p>
    <w:p w:rsidR="00E30C96" w:rsidRDefault="00E30C96" w:rsidP="00E30C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Nutrition &amp; Fertility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Undernutrition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Body fat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Nutrient status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 how consumption alters:</w:t>
      </w:r>
    </w:p>
    <w:p w:rsidR="00E30C96" w:rsidRDefault="00E30C96" w:rsidP="00E30C9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Environment the egg and sperm develop</w:t>
      </w:r>
    </w:p>
    <w:p w:rsidR="00E30C96" w:rsidRDefault="00E30C96" w:rsidP="00E30C9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Hormone levels that regulate reproductive processes</w:t>
      </w:r>
    </w:p>
    <w:p w:rsidR="00E30C96" w:rsidRDefault="00E30C96" w:rsidP="00E30C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Undernutrition and Fertility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Chronic undernutrition</w:t>
      </w:r>
    </w:p>
    <w:p w:rsidR="00E30C96" w:rsidRDefault="00E30C96" w:rsidP="00E30C9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LBW &amp; frail newborns</w:t>
      </w:r>
    </w:p>
    <w:p w:rsidR="00E30C96" w:rsidRDefault="00E30C96" w:rsidP="00E30C9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Newborns more likely to die in first year of life</w:t>
      </w:r>
    </w:p>
    <w:p w:rsidR="00E30C96" w:rsidRDefault="00E30C96" w:rsidP="00E30C9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Maternal hormonal changes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Acute undernutrition</w:t>
      </w:r>
    </w:p>
    <w:p w:rsidR="00E30C96" w:rsidRDefault="00E30C96" w:rsidP="00E30C9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Dramatic decline in fertility</w:t>
      </w:r>
    </w:p>
    <w:p w:rsidR="00E30C96" w:rsidRDefault="00E30C96" w:rsidP="00E30C9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Recovers when food consumption increases</w:t>
      </w:r>
    </w:p>
    <w:p w:rsidR="00E30C96" w:rsidRDefault="00E30C96" w:rsidP="00E30C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Body fat &amp; fertility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Decreased fertility seen at BMI &lt;20 or &gt;30 d/t alterations in hormones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Estrogen, testosterone &amp; leptin</w:t>
      </w:r>
    </w:p>
    <w:p w:rsidR="00E30C96" w:rsidRDefault="00E30C96" w:rsidP="00E30C9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both extremes lower fertility</w:t>
      </w:r>
    </w:p>
    <w:p w:rsidR="00E30C96" w:rsidRDefault="00E30C96" w:rsidP="00E30C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Too much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Central body fatness -&gt; insulin resistance, high insulin, chronic inflammation, oxidative stress and metabolic syndrome.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Insulin resistance: increased circulating androgens -&gt; anovulation, irregular menstrual cycle,  delayed time to conception</w:t>
      </w:r>
    </w:p>
    <w:p w:rsidR="00E30C96" w:rsidRDefault="00E30C96" w:rsidP="00E30C9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Men: high testosterone converts to estrogen, oxidative stress, may be related to autism spectrum disorder,  sperm quality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Can be “metabolically healthy” obese?</w:t>
      </w:r>
    </w:p>
    <w:p w:rsidR="00E30C96" w:rsidRDefault="00E30C96" w:rsidP="00E30C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 fat is not created equal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Metabolic Syndrome (often are obese)</w:t>
      </w:r>
    </w:p>
    <w:p w:rsidR="00E30C96" w:rsidRDefault="00E30C96" w:rsidP="00E30C9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Diagnosed if 3 of 5 conditions exist: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</w:r>
      <w:r>
        <w:rPr>
          <w:rFonts w:ascii="Times New Roman" w:hAnsi="Times New Roman" w:cs="Times New Roman"/>
          <w:color w:val="000000"/>
        </w:rPr>
        <w:tab/>
        <w:t>1. Waist circumference: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&gt; 40” (38) in men &amp; &gt; 35” (34) in women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2. Blood triglyceride: ≥150 mg/</w:t>
      </w:r>
      <w:proofErr w:type="spellStart"/>
      <w:r>
        <w:rPr>
          <w:rFonts w:ascii="Times New Roman" w:hAnsi="Times New Roman" w:cs="Times New Roman"/>
          <w:color w:val="000000"/>
        </w:rPr>
        <w:t>dL</w:t>
      </w:r>
      <w:proofErr w:type="spellEnd"/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3. HDL – C: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&lt; 40 mg/</w:t>
      </w:r>
      <w:proofErr w:type="spellStart"/>
      <w:r>
        <w:rPr>
          <w:rFonts w:ascii="Times New Roman" w:hAnsi="Times New Roman" w:cs="Times New Roman"/>
          <w:color w:val="000000"/>
        </w:rPr>
        <w:t>dL</w:t>
      </w:r>
      <w:proofErr w:type="spellEnd"/>
      <w:r>
        <w:rPr>
          <w:rFonts w:ascii="Times New Roman" w:hAnsi="Times New Roman" w:cs="Times New Roman"/>
          <w:color w:val="000000"/>
        </w:rPr>
        <w:t xml:space="preserve"> in men &amp; &lt; 50 mg/</w:t>
      </w:r>
      <w:proofErr w:type="spellStart"/>
      <w:r>
        <w:rPr>
          <w:rFonts w:ascii="Times New Roman" w:hAnsi="Times New Roman" w:cs="Times New Roman"/>
          <w:color w:val="000000"/>
        </w:rPr>
        <w:t>dL</w:t>
      </w:r>
      <w:proofErr w:type="spellEnd"/>
      <w:r>
        <w:rPr>
          <w:rFonts w:ascii="Times New Roman" w:hAnsi="Times New Roman" w:cs="Times New Roman"/>
          <w:color w:val="000000"/>
        </w:rPr>
        <w:t xml:space="preserve"> in women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4. Blood pressure: </w:t>
      </w:r>
      <w:r>
        <w:rPr>
          <w:rFonts w:ascii="Times New Roman" w:hAnsi="Times New Roman" w:cs="Times New Roman"/>
          <w:color w:val="000000"/>
          <w:u w:val="single"/>
        </w:rPr>
        <w:t>&gt;</w:t>
      </w:r>
      <w:r>
        <w:rPr>
          <w:rFonts w:ascii="Times New Roman" w:hAnsi="Times New Roman" w:cs="Times New Roman"/>
          <w:color w:val="000000"/>
        </w:rPr>
        <w:t>130/85 mm Hg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5. Fasting blood glucose: </w:t>
      </w:r>
      <w:r>
        <w:rPr>
          <w:rFonts w:ascii="Times New Roman" w:hAnsi="Times New Roman" w:cs="Times New Roman"/>
          <w:color w:val="000000"/>
          <w:u w:val="single"/>
        </w:rPr>
        <w:t>&gt;</w:t>
      </w:r>
      <w:r>
        <w:rPr>
          <w:rFonts w:ascii="Times New Roman" w:hAnsi="Times New Roman" w:cs="Times New Roman"/>
          <w:color w:val="000000"/>
        </w:rPr>
        <w:t xml:space="preserve"> 100 mg/</w:t>
      </w:r>
      <w:proofErr w:type="spellStart"/>
      <w:r>
        <w:rPr>
          <w:rFonts w:ascii="Times New Roman" w:hAnsi="Times New Roman" w:cs="Times New Roman"/>
          <w:color w:val="000000"/>
        </w:rPr>
        <w:t>dL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E30C96" w:rsidRDefault="00E30C96" w:rsidP="00E30C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High Body Fat &amp; Fertility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Low testosterone &amp; sex hormone binding globulin levels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Elevated leptin, FSH &amp; estrogen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Decrease sperm #, motility, increased sperm malformation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Oxidative stress &amp; inflammation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High estrogen, free testosterone &amp; leptin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Low sex hormone binding globulin levels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Insulin resistance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Oxidative stress &amp; inflammation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E30C96" w:rsidRDefault="00E30C96" w:rsidP="00E30C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Nutrition status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Antioxidants: foods rich in vitamins E &amp; C, beta carotene, selenium and pigments in fruits and vegetables.</w:t>
      </w:r>
    </w:p>
    <w:p w:rsidR="00E30C96" w:rsidRDefault="00E30C96" w:rsidP="00E30C9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Supps</w:t>
      </w:r>
      <w:proofErr w:type="spellEnd"/>
      <w:r>
        <w:rPr>
          <w:rFonts w:ascii="Times New Roman" w:hAnsi="Times New Roman" w:cs="Times New Roman"/>
          <w:color w:val="000000"/>
        </w:rPr>
        <w:t xml:space="preserve"> may help correct deficiencies -&gt; improve fertility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Zinc status in men:  poor sperm quality, concentration &amp; abnormal shape</w:t>
      </w:r>
    </w:p>
    <w:p w:rsidR="00E30C96" w:rsidRDefault="00E30C96" w:rsidP="00E30C9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Zinc </w:t>
      </w:r>
      <w:proofErr w:type="spellStart"/>
      <w:r>
        <w:rPr>
          <w:rFonts w:ascii="Times New Roman" w:hAnsi="Times New Roman" w:cs="Times New Roman"/>
          <w:color w:val="000000"/>
        </w:rPr>
        <w:t>supps</w:t>
      </w:r>
      <w:proofErr w:type="spellEnd"/>
      <w:r>
        <w:rPr>
          <w:rFonts w:ascii="Times New Roman" w:hAnsi="Times New Roman" w:cs="Times New Roman"/>
          <w:color w:val="000000"/>
        </w:rPr>
        <w:t xml:space="preserve"> only for deficiency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High soy in men &amp; women (not in 7</w:t>
      </w:r>
      <w:r>
        <w:rPr>
          <w:rFonts w:ascii="Times New Roman" w:hAnsi="Times New Roman" w:cs="Times New Roman"/>
          <w:color w:val="000000"/>
          <w:vertAlign w:val="superscript"/>
        </w:rPr>
        <w:t>th</w:t>
      </w:r>
      <w:r>
        <w:rPr>
          <w:rFonts w:ascii="Times New Roman" w:hAnsi="Times New Roman" w:cs="Times New Roman"/>
          <w:color w:val="000000"/>
        </w:rPr>
        <w:t>)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Low iron status in women 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</w:rPr>
      </w:pP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</w:rPr>
      </w:pP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Caffeine:  mixed</w:t>
      </w:r>
    </w:p>
    <w:p w:rsidR="00E30C96" w:rsidRDefault="00E30C96" w:rsidP="00E30C9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Hard to ID caffeine effect separate from smoking and other phytochemicals in coffee and tea.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ETOH: controversial</w:t>
      </w:r>
    </w:p>
    <w:p w:rsidR="00E30C96" w:rsidRDefault="00E30C96" w:rsidP="00E30C9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May alter testosterone, estrogen, FSH…</w:t>
      </w:r>
    </w:p>
    <w:p w:rsidR="00E30C96" w:rsidRDefault="00E30C96" w:rsidP="00E30C9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Recommended 0 to “moderate drinking”</w:t>
      </w:r>
    </w:p>
    <w:p w:rsidR="00E30C96" w:rsidRDefault="00E30C96" w:rsidP="00E30C9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0 once pregnant</w:t>
      </w:r>
    </w:p>
    <w:p w:rsidR="00E30C96" w:rsidRDefault="00E30C96" w:rsidP="00E30C9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May be more dramatic for women over 30 </w:t>
      </w:r>
      <w:proofErr w:type="spellStart"/>
      <w:r>
        <w:rPr>
          <w:rFonts w:ascii="Times New Roman" w:hAnsi="Times New Roman" w:cs="Times New Roman"/>
          <w:color w:val="000000"/>
        </w:rPr>
        <w:t>yo</w:t>
      </w:r>
      <w:proofErr w:type="spellEnd"/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Exercise: likely not a problem if consume sufficient calories</w:t>
      </w:r>
    </w:p>
    <w:p w:rsidR="00E30C96" w:rsidRDefault="00E30C96" w:rsidP="00E30C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Nutrition during periconception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Folate: + effect on male and female infertility</w:t>
      </w:r>
    </w:p>
    <w:p w:rsidR="00E30C96" w:rsidRDefault="00E30C96" w:rsidP="00E30C9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Lowers risk of NTD</w:t>
      </w:r>
    </w:p>
    <w:p w:rsidR="00E30C96" w:rsidRDefault="00E30C96" w:rsidP="00E30C9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Sperm concentration, motility &amp; chromosomes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Iron: low iron stores and frank deficiency are common.  </w:t>
      </w:r>
    </w:p>
    <w:p w:rsidR="00E30C96" w:rsidRDefault="00E30C96" w:rsidP="00E30C9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Interferes with ovulation and may result in pre-term delivery.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Enter pregnancy well-nourished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E30C96" w:rsidRDefault="00E30C96" w:rsidP="00E30C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Negative energy balance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May cause hypothalamic amenorrhea: </w:t>
      </w:r>
    </w:p>
    <w:p w:rsidR="00E30C96" w:rsidRDefault="00E30C96" w:rsidP="00E30C9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absence of ovulation and menstruation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ED: more likely to miscarry, have preterm delivery, and babies under 5.5 </w:t>
      </w:r>
      <w:proofErr w:type="spellStart"/>
      <w:r>
        <w:rPr>
          <w:rFonts w:ascii="Times New Roman" w:hAnsi="Times New Roman" w:cs="Times New Roman"/>
          <w:color w:val="000000"/>
        </w:rPr>
        <w:t>lbs</w:t>
      </w:r>
      <w:proofErr w:type="spellEnd"/>
      <w:r>
        <w:rPr>
          <w:rFonts w:ascii="Times New Roman" w:hAnsi="Times New Roman" w:cs="Times New Roman"/>
          <w:color w:val="000000"/>
        </w:rPr>
        <w:t xml:space="preserve"> at birth (LBW)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“low energy availability” (FKA Female athlete triad): starts with inadequate kcals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E30C96" w:rsidRDefault="00E30C96" w:rsidP="00E30C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Exercise</w:t>
      </w:r>
    </w:p>
    <w:p w:rsidR="00E30C96" w:rsidRDefault="00E30C96" w:rsidP="00E30C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Weight Loss and Fertility</w:t>
      </w:r>
    </w:p>
    <w:p w:rsidR="00E30C96" w:rsidRDefault="00E30C96" w:rsidP="00E30C9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Females</w:t>
      </w:r>
    </w:p>
    <w:p w:rsidR="00E30C96" w:rsidRDefault="00E30C96" w:rsidP="00E30C9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Weight loss &gt;10-15% of usual weight decreases estrogen</w:t>
      </w:r>
    </w:p>
    <w:p w:rsidR="00E30C96" w:rsidRDefault="00E30C96" w:rsidP="00E30C9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Results in amenorrhea, anovulatory cycle &amp; short or absent luteal phases</w:t>
      </w:r>
    </w:p>
    <w:p w:rsidR="00E30C96" w:rsidRDefault="00E30C96" w:rsidP="00E30C9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Males</w:t>
      </w:r>
    </w:p>
    <w:p w:rsidR="00E30C96" w:rsidRDefault="00E30C96" w:rsidP="00E30C9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Starvation decreases male fertility by 50% (from Keys’ studies during World War II)</w:t>
      </w:r>
    </w:p>
    <w:p w:rsidR="00E30C96" w:rsidRDefault="00E30C96" w:rsidP="00E30C9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Sperm viability &amp; motility: </w:t>
      </w:r>
    </w:p>
    <w:p w:rsidR="00E30C96" w:rsidRDefault="00E30C96" w:rsidP="00E30C96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decrease with </w:t>
      </w:r>
      <w:proofErr w:type="spellStart"/>
      <w:r>
        <w:rPr>
          <w:rFonts w:ascii="Times New Roman" w:hAnsi="Times New Roman" w:cs="Times New Roman"/>
          <w:color w:val="000000"/>
        </w:rPr>
        <w:t>wt</w:t>
      </w:r>
      <w:proofErr w:type="spellEnd"/>
      <w:r>
        <w:rPr>
          <w:rFonts w:ascii="Times New Roman" w:hAnsi="Times New Roman" w:cs="Times New Roman"/>
          <w:color w:val="000000"/>
        </w:rPr>
        <w:t xml:space="preserve"> 10 to 15% below normal </w:t>
      </w:r>
    </w:p>
    <w:p w:rsidR="00E30C96" w:rsidRDefault="00E30C96" w:rsidP="00E30C96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cease at </w:t>
      </w:r>
      <w:proofErr w:type="spellStart"/>
      <w:r>
        <w:rPr>
          <w:rFonts w:ascii="Times New Roman" w:hAnsi="Times New Roman" w:cs="Times New Roman"/>
          <w:color w:val="000000"/>
        </w:rPr>
        <w:t>wt</w:t>
      </w:r>
      <w:proofErr w:type="spellEnd"/>
      <w:r>
        <w:rPr>
          <w:rFonts w:ascii="Times New Roman" w:hAnsi="Times New Roman" w:cs="Times New Roman"/>
          <w:color w:val="000000"/>
        </w:rPr>
        <w:t xml:space="preserve"> &gt;25% of normal</w:t>
      </w:r>
    </w:p>
    <w:p w:rsidR="00E30C96" w:rsidRDefault="00E30C96" w:rsidP="00E30C96">
      <w:pPr>
        <w:autoSpaceDE w:val="0"/>
        <w:autoSpaceDN w:val="0"/>
        <w:adjustRightInd w:val="0"/>
        <w:ind w:left="1170" w:hanging="450"/>
        <w:rPr>
          <w:rFonts w:ascii="Verdana" w:hAnsi="Verdana" w:cs="Verdana"/>
          <w:color w:val="000000"/>
        </w:rPr>
      </w:pPr>
    </w:p>
    <w:p w:rsidR="00E30C96" w:rsidRDefault="00E30C96" w:rsidP="00E30C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Celiac disease</w:t>
      </w:r>
      <w:r>
        <w:rPr>
          <w:rFonts w:ascii="MS Mincho" w:eastAsia="MS Mincho" w:hAnsi="MS Mincho" w:cs="MS Mincho" w:hint="eastAsia"/>
          <w:color w:val="000000"/>
        </w:rPr>
        <w:t> </w:t>
      </w:r>
      <w:r>
        <w:rPr>
          <w:rFonts w:ascii="Times New Roman" w:hAnsi="Times New Roman" w:cs="Times New Roman"/>
          <w:color w:val="000000"/>
        </w:rPr>
        <w:t>chronic undernutrition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Autoimmune </w:t>
      </w:r>
      <w:proofErr w:type="spellStart"/>
      <w:r>
        <w:rPr>
          <w:rFonts w:ascii="Times New Roman" w:hAnsi="Times New Roman" w:cs="Times New Roman"/>
          <w:color w:val="000000"/>
        </w:rPr>
        <w:t>dz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Immune system causes inflammation that damages villi and microvilli of the small intestine -&gt; malabsorption &amp; malnutrition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Untreated: amenorrhea, miscarriage, low-birth weight, delayed sexual maturation in males, low sex hormones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Gluten sensitivity &amp; wheat allergy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E30C96" w:rsidRDefault="00E30C96" w:rsidP="00E30C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Nutrition care process: 4 steps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Nutrition assessment</w:t>
      </w:r>
    </w:p>
    <w:p w:rsidR="00E30C96" w:rsidRDefault="00E30C96" w:rsidP="00E30C9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Diet, weight, medical history</w:t>
      </w:r>
    </w:p>
    <w:p w:rsidR="00E30C96" w:rsidRDefault="00E30C96" w:rsidP="00E30C9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Nutrition knowledge, behaviors and food availability</w:t>
      </w:r>
    </w:p>
    <w:p w:rsidR="00E30C96" w:rsidRDefault="00E30C96" w:rsidP="00E30C9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Physical activity</w:t>
      </w:r>
    </w:p>
    <w:p w:rsidR="00E30C96" w:rsidRDefault="00E30C96" w:rsidP="00E30C9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Labs and anthropometric measures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Nutrition diagnosis</w:t>
      </w:r>
    </w:p>
    <w:p w:rsidR="00E30C96" w:rsidRDefault="00E30C96" w:rsidP="00E30C9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ID nutrition-specific problems</w:t>
      </w:r>
    </w:p>
    <w:p w:rsidR="00E30C96" w:rsidRDefault="00E30C96" w:rsidP="00E30C9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Food and nutrient intake, clinical findings/lab values, behavioral and knowledge deficits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Nutrition intervention</w:t>
      </w:r>
    </w:p>
    <w:p w:rsidR="00E30C96" w:rsidRDefault="00E30C96" w:rsidP="00E30C96">
      <w:pPr>
        <w:autoSpaceDE w:val="0"/>
        <w:autoSpaceDN w:val="0"/>
        <w:adjustRightInd w:val="0"/>
        <w:ind w:left="117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Create and implement effective intervention that will improve/resolve problem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Nutrition monitoring and evaluation</w:t>
      </w:r>
    </w:p>
    <w:p w:rsidR="00E30C96" w:rsidRDefault="00E30C96" w:rsidP="00E30C96">
      <w:pPr>
        <w:autoSpaceDE w:val="0"/>
        <w:autoSpaceDN w:val="0"/>
        <w:adjustRightInd w:val="0"/>
        <w:ind w:left="117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Measure and monitor progress</w:t>
      </w:r>
    </w:p>
    <w:p w:rsidR="00E30C96" w:rsidRDefault="00E30C96" w:rsidP="00E30C96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</w:rPr>
      </w:pPr>
    </w:p>
    <w:p w:rsidR="00996955" w:rsidRDefault="00E30C96">
      <w:bookmarkStart w:id="0" w:name="_GoBack"/>
      <w:bookmarkEnd w:id="0"/>
    </w:p>
    <w:sectPr w:rsidR="00996955" w:rsidSect="004A039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96"/>
    <w:rsid w:val="002C3D81"/>
    <w:rsid w:val="00436DE6"/>
    <w:rsid w:val="00E3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75EC3-26DB-6745-B855-C1C9D6A9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2019-08-20T20:46:00Z</dcterms:created>
  <dcterms:modified xsi:type="dcterms:W3CDTF">2019-08-20T20:47:00Z</dcterms:modified>
</cp:coreProperties>
</file>