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567" w:rsidRPr="00AB5A46" w:rsidRDefault="009A4567" w:rsidP="009A4567">
      <w:pPr>
        <w:jc w:val="center"/>
        <w:rPr>
          <w:rFonts w:ascii="Times New Roman" w:hAnsi="Times New Roman" w:cs="Times New Roman"/>
          <w:b/>
          <w:sz w:val="24"/>
        </w:rPr>
      </w:pPr>
      <w:r w:rsidRPr="00AB5A46">
        <w:rPr>
          <w:rFonts w:ascii="Times New Roman" w:hAnsi="Times New Roman" w:cs="Times New Roman"/>
          <w:b/>
          <w:sz w:val="24"/>
        </w:rPr>
        <w:t>Outline Assignment—</w:t>
      </w:r>
      <w:r w:rsidR="002147AA">
        <w:rPr>
          <w:rFonts w:ascii="Times New Roman" w:hAnsi="Times New Roman" w:cs="Times New Roman"/>
          <w:b/>
          <w:sz w:val="24"/>
        </w:rPr>
        <w:t>R</w:t>
      </w:r>
      <w:r w:rsidRPr="00AB5A46">
        <w:rPr>
          <w:rFonts w:ascii="Times New Roman" w:hAnsi="Times New Roman" w:cs="Times New Roman"/>
          <w:b/>
          <w:sz w:val="24"/>
        </w:rPr>
        <w:t>esponse to “Message to my Freshman Students”</w:t>
      </w:r>
    </w:p>
    <w:p w:rsidR="009A4567" w:rsidRPr="00AB5A46" w:rsidRDefault="009A4567" w:rsidP="009A4567">
      <w:pPr>
        <w:rPr>
          <w:rFonts w:ascii="Times New Roman" w:hAnsi="Times New Roman" w:cs="Times New Roman"/>
        </w:rPr>
      </w:pPr>
      <w:r w:rsidRPr="00AB5A46">
        <w:rPr>
          <w:rFonts w:ascii="Times New Roman" w:hAnsi="Times New Roman" w:cs="Times New Roman"/>
          <w:b/>
        </w:rPr>
        <w:t>Overview</w:t>
      </w:r>
      <w:r w:rsidRPr="00AB5A46">
        <w:rPr>
          <w:rFonts w:ascii="Times New Roman" w:hAnsi="Times New Roman" w:cs="Times New Roman"/>
        </w:rPr>
        <w:t xml:space="preserve">: Now that you’ve had an introduction to rhetorical analysis through reading and discussion, it’s time to move into writing your own arguments. This is just a warm-up, though. You won’t have to write </w:t>
      </w:r>
      <w:r w:rsidR="00AB5A46" w:rsidRPr="00AB5A46">
        <w:rPr>
          <w:rFonts w:ascii="Times New Roman" w:hAnsi="Times New Roman" w:cs="Times New Roman"/>
        </w:rPr>
        <w:t xml:space="preserve">out a full response to </w:t>
      </w:r>
      <w:r w:rsidR="00AB5A46" w:rsidRPr="00AB5A46">
        <w:rPr>
          <w:rFonts w:ascii="Times New Roman" w:hAnsi="Times New Roman" w:cs="Times New Roman"/>
        </w:rPr>
        <w:t>“Message to My Freshman Students</w:t>
      </w:r>
      <w:r w:rsidR="00AB5A46" w:rsidRPr="00AB5A46">
        <w:rPr>
          <w:rFonts w:ascii="Times New Roman" w:hAnsi="Times New Roman" w:cs="Times New Roman"/>
        </w:rPr>
        <w:t>,</w:t>
      </w:r>
      <w:r w:rsidR="00AB5A46" w:rsidRPr="00AB5A46">
        <w:rPr>
          <w:rFonts w:ascii="Times New Roman" w:hAnsi="Times New Roman" w:cs="Times New Roman"/>
        </w:rPr>
        <w:t>”</w:t>
      </w:r>
      <w:r w:rsidRPr="00AB5A46">
        <w:rPr>
          <w:rFonts w:ascii="Times New Roman" w:hAnsi="Times New Roman" w:cs="Times New Roman"/>
        </w:rPr>
        <w:t xml:space="preserve"> just think about what you have to say and how you might organize it.</w:t>
      </w:r>
    </w:p>
    <w:p w:rsidR="009A4567" w:rsidRPr="00AB5A46" w:rsidRDefault="00AB5A46" w:rsidP="009A4567">
      <w:pPr>
        <w:rPr>
          <w:rFonts w:ascii="Times New Roman" w:hAnsi="Times New Roman" w:cs="Times New Roman"/>
        </w:rPr>
      </w:pPr>
      <w:r w:rsidRPr="00AB5A46">
        <w:rPr>
          <w:rFonts w:ascii="Times New Roman" w:hAnsi="Times New Roman" w:cs="Times New Roman"/>
          <w:b/>
        </w:rPr>
        <w:t xml:space="preserve">Assignment: </w:t>
      </w:r>
      <w:r w:rsidRPr="00AB5A46">
        <w:rPr>
          <w:rFonts w:ascii="Times New Roman" w:hAnsi="Times New Roman" w:cs="Times New Roman"/>
        </w:rPr>
        <w:t xml:space="preserve">Think about what you would say to Keith Parsons’ essay, </w:t>
      </w:r>
      <w:r w:rsidRPr="00AB5A46">
        <w:rPr>
          <w:rFonts w:ascii="Times New Roman" w:hAnsi="Times New Roman" w:cs="Times New Roman"/>
        </w:rPr>
        <w:t>“Message to My Freshman Students,”</w:t>
      </w:r>
      <w:r w:rsidRPr="00AB5A46">
        <w:rPr>
          <w:rFonts w:ascii="Times New Roman" w:hAnsi="Times New Roman" w:cs="Times New Roman"/>
        </w:rPr>
        <w:t xml:space="preserve"> and outline it, as I did below with a hypothetical response to a different essay (didn’t want to steal your thunder on the Parsons one).</w:t>
      </w:r>
    </w:p>
    <w:p w:rsidR="00AB5A46" w:rsidRPr="00AB5A46" w:rsidRDefault="00AB5A46" w:rsidP="009A4567">
      <w:pPr>
        <w:rPr>
          <w:rFonts w:ascii="Times New Roman" w:hAnsi="Times New Roman" w:cs="Times New Roman"/>
        </w:rPr>
      </w:pPr>
      <w:r w:rsidRPr="00AB5A46">
        <w:rPr>
          <w:rFonts w:ascii="Times New Roman" w:hAnsi="Times New Roman" w:cs="Times New Roman"/>
          <w:b/>
        </w:rPr>
        <w:t>Your Audience</w:t>
      </w:r>
      <w:r w:rsidR="002147AA">
        <w:rPr>
          <w:rFonts w:ascii="Times New Roman" w:hAnsi="Times New Roman" w:cs="Times New Roman"/>
          <w:b/>
        </w:rPr>
        <w:t>/forum</w:t>
      </w:r>
      <w:r w:rsidRPr="00AB5A46">
        <w:rPr>
          <w:rFonts w:ascii="Times New Roman" w:hAnsi="Times New Roman" w:cs="Times New Roman"/>
        </w:rPr>
        <w:t xml:space="preserve">: </w:t>
      </w:r>
      <w:bookmarkStart w:id="0" w:name="_GoBack"/>
      <w:bookmarkEnd w:id="0"/>
      <w:r w:rsidRPr="00AB5A46">
        <w:rPr>
          <w:rFonts w:ascii="Times New Roman" w:hAnsi="Times New Roman" w:cs="Times New Roman"/>
        </w:rPr>
        <w:t xml:space="preserve">Choose your own audience and </w:t>
      </w:r>
      <w:r w:rsidR="002147AA">
        <w:rPr>
          <w:rFonts w:ascii="Times New Roman" w:hAnsi="Times New Roman" w:cs="Times New Roman"/>
        </w:rPr>
        <w:t>forum, and state them as I did below</w:t>
      </w:r>
      <w:r w:rsidRPr="00AB5A46">
        <w:rPr>
          <w:rFonts w:ascii="Times New Roman" w:hAnsi="Times New Roman" w:cs="Times New Roman"/>
        </w:rPr>
        <w:t>.</w:t>
      </w:r>
    </w:p>
    <w:p w:rsidR="00AB5A46" w:rsidRDefault="00AB5A46" w:rsidP="009A4567">
      <w:pPr>
        <w:rPr>
          <w:rFonts w:ascii="Times New Roman" w:hAnsi="Times New Roman" w:cs="Times New Roman"/>
        </w:rPr>
      </w:pPr>
      <w:r w:rsidRPr="00AB5A46">
        <w:rPr>
          <w:rFonts w:ascii="Times New Roman" w:hAnsi="Times New Roman" w:cs="Times New Roman"/>
          <w:b/>
        </w:rPr>
        <w:t>Details</w:t>
      </w:r>
      <w:r w:rsidRPr="00AB5A46">
        <w:rPr>
          <w:rFonts w:ascii="Times New Roman" w:hAnsi="Times New Roman" w:cs="Times New Roman"/>
        </w:rPr>
        <w:t xml:space="preserve">: This must be TYPED. </w:t>
      </w:r>
      <w:r w:rsidRPr="00AB5A46">
        <w:rPr>
          <w:rFonts w:ascii="Times New Roman" w:hAnsi="Times New Roman" w:cs="Times New Roman"/>
          <w:b/>
        </w:rPr>
        <w:t>Due</w:t>
      </w:r>
      <w:r w:rsidRPr="00AB5A46">
        <w:rPr>
          <w:rFonts w:ascii="Times New Roman" w:hAnsi="Times New Roman" w:cs="Times New Roman"/>
        </w:rPr>
        <w:t xml:space="preserve"> </w:t>
      </w:r>
      <w:r w:rsidRPr="00AB5A46">
        <w:rPr>
          <w:rFonts w:ascii="Times New Roman" w:hAnsi="Times New Roman" w:cs="Times New Roman"/>
          <w:i/>
        </w:rPr>
        <w:t>at the beginning of class</w:t>
      </w:r>
      <w:r w:rsidRPr="00AB5A46">
        <w:rPr>
          <w:rFonts w:ascii="Times New Roman" w:hAnsi="Times New Roman" w:cs="Times New Roman"/>
        </w:rPr>
        <w:t xml:space="preserve"> T 9/20 or W 9/21</w:t>
      </w:r>
    </w:p>
    <w:p w:rsidR="002147AA" w:rsidRPr="00AB5A46" w:rsidRDefault="002147AA" w:rsidP="009A4567">
      <w:pPr>
        <w:rPr>
          <w:rFonts w:ascii="Times New Roman" w:hAnsi="Times New Roman" w:cs="Times New Roman"/>
        </w:rPr>
      </w:pPr>
      <w:r>
        <w:rPr>
          <w:rFonts w:ascii="Times New Roman" w:hAnsi="Times New Roman" w:cs="Times New Roman"/>
        </w:rPr>
        <w:t>*************************************************************************************</w:t>
      </w:r>
    </w:p>
    <w:p w:rsidR="008414C8" w:rsidRPr="00AB5A46" w:rsidRDefault="009A4567" w:rsidP="008414C8">
      <w:pPr>
        <w:jc w:val="center"/>
        <w:rPr>
          <w:rFonts w:ascii="Times New Roman" w:hAnsi="Times New Roman" w:cs="Times New Roman"/>
          <w:b/>
        </w:rPr>
      </w:pPr>
      <w:r w:rsidRPr="00AB5A46">
        <w:rPr>
          <w:rFonts w:ascii="Times New Roman" w:hAnsi="Times New Roman" w:cs="Times New Roman"/>
          <w:b/>
        </w:rPr>
        <w:t>Sample outline for my own</w:t>
      </w:r>
      <w:r w:rsidR="006B418C" w:rsidRPr="00AB5A46">
        <w:rPr>
          <w:rFonts w:ascii="Times New Roman" w:hAnsi="Times New Roman" w:cs="Times New Roman"/>
          <w:b/>
        </w:rPr>
        <w:t xml:space="preserve"> response to “Education’s Hungry Hearts”—Outline</w:t>
      </w:r>
    </w:p>
    <w:p w:rsidR="006B418C" w:rsidRPr="00AB5A46" w:rsidRDefault="006B418C" w:rsidP="006B418C">
      <w:pPr>
        <w:rPr>
          <w:rFonts w:ascii="Times New Roman" w:hAnsi="Times New Roman" w:cs="Times New Roman"/>
        </w:rPr>
      </w:pPr>
      <w:r w:rsidRPr="00AB5A46">
        <w:rPr>
          <w:rFonts w:ascii="Times New Roman" w:hAnsi="Times New Roman" w:cs="Times New Roman"/>
          <w:b/>
        </w:rPr>
        <w:t>Audience</w:t>
      </w:r>
      <w:r w:rsidRPr="00AB5A46">
        <w:rPr>
          <w:rFonts w:ascii="Times New Roman" w:hAnsi="Times New Roman" w:cs="Times New Roman"/>
        </w:rPr>
        <w:t>:</w:t>
      </w:r>
      <w:r w:rsidRPr="00AB5A46">
        <w:rPr>
          <w:rFonts w:ascii="Times New Roman" w:hAnsi="Times New Roman" w:cs="Times New Roman"/>
        </w:rPr>
        <w:t xml:space="preserve"> SJSU students/faculty/staff</w:t>
      </w:r>
      <w:r w:rsidR="002147AA">
        <w:rPr>
          <w:rFonts w:ascii="Times New Roman" w:hAnsi="Times New Roman" w:cs="Times New Roman"/>
        </w:rPr>
        <w:t xml:space="preserve">           </w:t>
      </w:r>
      <w:r w:rsidRPr="00AB5A46">
        <w:rPr>
          <w:rFonts w:ascii="Times New Roman" w:hAnsi="Times New Roman" w:cs="Times New Roman"/>
          <w:b/>
        </w:rPr>
        <w:t>Forum</w:t>
      </w:r>
      <w:r w:rsidRPr="00AB5A46">
        <w:rPr>
          <w:rFonts w:ascii="Times New Roman" w:hAnsi="Times New Roman" w:cs="Times New Roman"/>
        </w:rPr>
        <w:t>: Spartan Daily</w:t>
      </w:r>
    </w:p>
    <w:p w:rsidR="006B418C" w:rsidRPr="00AB5A46" w:rsidRDefault="006B418C" w:rsidP="006B418C">
      <w:pPr>
        <w:rPr>
          <w:rFonts w:ascii="Times New Roman" w:hAnsi="Times New Roman" w:cs="Times New Roman"/>
        </w:rPr>
      </w:pPr>
      <w:r w:rsidRPr="00AB5A46">
        <w:rPr>
          <w:rFonts w:ascii="Times New Roman" w:hAnsi="Times New Roman" w:cs="Times New Roman"/>
          <w:b/>
        </w:rPr>
        <w:t>Intro</w:t>
      </w:r>
      <w:r w:rsidRPr="00AB5A46">
        <w:rPr>
          <w:rFonts w:ascii="Times New Roman" w:hAnsi="Times New Roman" w:cs="Times New Roman"/>
        </w:rPr>
        <w:t>: I’d introduce the topic, situating it as a beginning-of-the-semester rumination on why we do this—higher education—and identifying myself as a long-time instructor, primarily of freshman in GE classes. Then I’d introduce the essay I’m responding to, with a brief summary and something about the author.</w:t>
      </w:r>
      <w:r w:rsidR="0025354E" w:rsidRPr="00AB5A46">
        <w:rPr>
          <w:rFonts w:ascii="Times New Roman" w:hAnsi="Times New Roman" w:cs="Times New Roman"/>
        </w:rPr>
        <w:t xml:space="preserve"> Lastly, I’d state either just his main point, which I want to challenge or build upon, or his main point and my own main point</w:t>
      </w:r>
      <w:r w:rsidR="009A4567" w:rsidRPr="00AB5A46">
        <w:rPr>
          <w:rFonts w:ascii="Times New Roman" w:hAnsi="Times New Roman" w:cs="Times New Roman"/>
        </w:rPr>
        <w:t xml:space="preserve"> (below)</w:t>
      </w:r>
      <w:r w:rsidR="0025354E" w:rsidRPr="00AB5A46">
        <w:rPr>
          <w:rFonts w:ascii="Times New Roman" w:hAnsi="Times New Roman" w:cs="Times New Roman"/>
        </w:rPr>
        <w:t>.</w:t>
      </w:r>
    </w:p>
    <w:p w:rsidR="0025354E" w:rsidRPr="00AB5A46" w:rsidRDefault="0025354E" w:rsidP="006B418C">
      <w:pPr>
        <w:rPr>
          <w:rFonts w:ascii="Times New Roman" w:hAnsi="Times New Roman" w:cs="Times New Roman"/>
        </w:rPr>
      </w:pPr>
      <w:r w:rsidRPr="00AB5A46">
        <w:rPr>
          <w:rFonts w:ascii="Times New Roman" w:hAnsi="Times New Roman" w:cs="Times New Roman"/>
          <w:b/>
        </w:rPr>
        <w:t>My thesis</w:t>
      </w:r>
      <w:r w:rsidRPr="00AB5A46">
        <w:rPr>
          <w:rFonts w:ascii="Times New Roman" w:hAnsi="Times New Roman" w:cs="Times New Roman"/>
        </w:rPr>
        <w:t xml:space="preserve">: While it </w:t>
      </w:r>
      <w:r w:rsidRPr="00AB5A46">
        <w:rPr>
          <w:rFonts w:ascii="Times New Roman" w:hAnsi="Times New Roman" w:cs="Times New Roman"/>
          <w:i/>
        </w:rPr>
        <w:t>is</w:t>
      </w:r>
      <w:r w:rsidRPr="00AB5A46">
        <w:rPr>
          <w:rFonts w:ascii="Times New Roman" w:hAnsi="Times New Roman" w:cs="Times New Roman"/>
        </w:rPr>
        <w:t xml:space="preserve"> at least partly our (professor’s) job to instill a love of learning and to spark a wide-ranging, interdepartmental curiosity in our students, we can only really work with students who are ready, willing, and able to step up to the banquet and fill their plates. (</w:t>
      </w:r>
      <w:r w:rsidR="009A4567" w:rsidRPr="00AB5A46">
        <w:rPr>
          <w:rFonts w:ascii="Times New Roman" w:hAnsi="Times New Roman" w:cs="Times New Roman"/>
        </w:rPr>
        <w:t xml:space="preserve">I’m </w:t>
      </w:r>
      <w:r w:rsidRPr="00AB5A46">
        <w:rPr>
          <w:rFonts w:ascii="Times New Roman" w:hAnsi="Times New Roman" w:cs="Times New Roman"/>
        </w:rPr>
        <w:t xml:space="preserve">not sure if I’ll go with this </w:t>
      </w:r>
      <w:r w:rsidR="008414C8" w:rsidRPr="00AB5A46">
        <w:rPr>
          <w:rFonts w:ascii="Times New Roman" w:hAnsi="Times New Roman" w:cs="Times New Roman"/>
        </w:rPr>
        <w:t xml:space="preserve">hunger </w:t>
      </w:r>
      <w:r w:rsidRPr="00AB5A46">
        <w:rPr>
          <w:rFonts w:ascii="Times New Roman" w:hAnsi="Times New Roman" w:cs="Times New Roman"/>
        </w:rPr>
        <w:t>metaphor or use a more conventional one—learning as a</w:t>
      </w:r>
      <w:r w:rsidR="008414C8" w:rsidRPr="00AB5A46">
        <w:rPr>
          <w:rFonts w:ascii="Times New Roman" w:hAnsi="Times New Roman" w:cs="Times New Roman"/>
        </w:rPr>
        <w:t xml:space="preserve"> light-giving</w:t>
      </w:r>
      <w:r w:rsidRPr="00AB5A46">
        <w:rPr>
          <w:rFonts w:ascii="Times New Roman" w:hAnsi="Times New Roman" w:cs="Times New Roman"/>
        </w:rPr>
        <w:t xml:space="preserve"> torch or a </w:t>
      </w:r>
      <w:r w:rsidR="008414C8" w:rsidRPr="00AB5A46">
        <w:rPr>
          <w:rFonts w:ascii="Times New Roman" w:hAnsi="Times New Roman" w:cs="Times New Roman"/>
        </w:rPr>
        <w:t xml:space="preserve">life-giving </w:t>
      </w:r>
      <w:r w:rsidRPr="00AB5A46">
        <w:rPr>
          <w:rFonts w:ascii="Times New Roman" w:hAnsi="Times New Roman" w:cs="Times New Roman"/>
        </w:rPr>
        <w:t>fountain.</w:t>
      </w:r>
      <w:r w:rsidR="008414C8" w:rsidRPr="00AB5A46">
        <w:rPr>
          <w:rFonts w:ascii="Times New Roman" w:hAnsi="Times New Roman" w:cs="Times New Roman"/>
        </w:rPr>
        <w:t>)</w:t>
      </w:r>
    </w:p>
    <w:p w:rsidR="0025354E" w:rsidRPr="00AB5A46" w:rsidRDefault="0025354E" w:rsidP="0025354E">
      <w:pPr>
        <w:pStyle w:val="ListParagraph"/>
        <w:numPr>
          <w:ilvl w:val="0"/>
          <w:numId w:val="1"/>
        </w:numPr>
        <w:rPr>
          <w:rFonts w:ascii="Times New Roman" w:hAnsi="Times New Roman" w:cs="Times New Roman"/>
        </w:rPr>
      </w:pPr>
      <w:r w:rsidRPr="00AB5A46">
        <w:rPr>
          <w:rFonts w:ascii="Times New Roman" w:hAnsi="Times New Roman" w:cs="Times New Roman"/>
        </w:rPr>
        <w:t xml:space="preserve">Offer a description and a heart-felt appreciation for the students who </w:t>
      </w:r>
      <w:r w:rsidRPr="00AB5A46">
        <w:rPr>
          <w:rFonts w:ascii="Times New Roman" w:hAnsi="Times New Roman" w:cs="Times New Roman"/>
          <w:i/>
        </w:rPr>
        <w:t>do</w:t>
      </w:r>
      <w:r w:rsidRPr="00AB5A46">
        <w:rPr>
          <w:rFonts w:ascii="Times New Roman" w:hAnsi="Times New Roman" w:cs="Times New Roman"/>
        </w:rPr>
        <w:t xml:space="preserve"> come to college with an eager, open mind.</w:t>
      </w:r>
      <w:r w:rsidR="008414C8" w:rsidRPr="00AB5A46">
        <w:rPr>
          <w:rFonts w:ascii="Times New Roman" w:hAnsi="Times New Roman" w:cs="Times New Roman"/>
        </w:rPr>
        <w:t xml:space="preserve"> </w:t>
      </w:r>
      <w:r w:rsidR="009A4567" w:rsidRPr="00AB5A46">
        <w:rPr>
          <w:rFonts w:ascii="Times New Roman" w:hAnsi="Times New Roman" w:cs="Times New Roman"/>
        </w:rPr>
        <w:t xml:space="preserve">Give some examples. </w:t>
      </w:r>
      <w:r w:rsidR="008414C8" w:rsidRPr="00AB5A46">
        <w:rPr>
          <w:rFonts w:ascii="Times New Roman" w:hAnsi="Times New Roman" w:cs="Times New Roman"/>
        </w:rPr>
        <w:t>Describe their effect on a classroom of otherwise disengaged students.</w:t>
      </w:r>
    </w:p>
    <w:p w:rsidR="008414C8" w:rsidRPr="00AB5A46" w:rsidRDefault="008414C8" w:rsidP="0025354E">
      <w:pPr>
        <w:pStyle w:val="ListParagraph"/>
        <w:numPr>
          <w:ilvl w:val="0"/>
          <w:numId w:val="1"/>
        </w:numPr>
        <w:rPr>
          <w:rFonts w:ascii="Times New Roman" w:hAnsi="Times New Roman" w:cs="Times New Roman"/>
        </w:rPr>
      </w:pPr>
      <w:r w:rsidRPr="00AB5A46">
        <w:rPr>
          <w:rFonts w:ascii="Times New Roman" w:hAnsi="Times New Roman" w:cs="Times New Roman"/>
        </w:rPr>
        <w:t>Describe the problem posed by the disengaged student, the deadening, demoralizing effect they have on the professor and the rest of the class.</w:t>
      </w:r>
    </w:p>
    <w:p w:rsidR="008414C8" w:rsidRPr="00AB5A46" w:rsidRDefault="008414C8" w:rsidP="0025354E">
      <w:pPr>
        <w:pStyle w:val="ListParagraph"/>
        <w:numPr>
          <w:ilvl w:val="0"/>
          <w:numId w:val="1"/>
        </w:numPr>
        <w:rPr>
          <w:rFonts w:ascii="Times New Roman" w:hAnsi="Times New Roman" w:cs="Times New Roman"/>
        </w:rPr>
      </w:pPr>
      <w:r w:rsidRPr="00AB5A46">
        <w:rPr>
          <w:rFonts w:ascii="Times New Roman" w:hAnsi="Times New Roman" w:cs="Times New Roman"/>
        </w:rPr>
        <w:t>Discuss why these students’ disengagement is sometimes not their fault or not something they can control. Suggest things high schools c</w:t>
      </w:r>
      <w:r w:rsidR="009A4567" w:rsidRPr="00AB5A46">
        <w:rPr>
          <w:rFonts w:ascii="Times New Roman" w:hAnsi="Times New Roman" w:cs="Times New Roman"/>
        </w:rPr>
        <w:t>ould have</w:t>
      </w:r>
      <w:r w:rsidRPr="00AB5A46">
        <w:rPr>
          <w:rFonts w:ascii="Times New Roman" w:hAnsi="Times New Roman" w:cs="Times New Roman"/>
        </w:rPr>
        <w:t xml:space="preserve"> do</w:t>
      </w:r>
      <w:r w:rsidR="009A4567" w:rsidRPr="00AB5A46">
        <w:rPr>
          <w:rFonts w:ascii="Times New Roman" w:hAnsi="Times New Roman" w:cs="Times New Roman"/>
        </w:rPr>
        <w:t>ne</w:t>
      </w:r>
      <w:r w:rsidRPr="00AB5A46">
        <w:rPr>
          <w:rFonts w:ascii="Times New Roman" w:hAnsi="Times New Roman" w:cs="Times New Roman"/>
        </w:rPr>
        <w:t xml:space="preserve"> for them, </w:t>
      </w:r>
      <w:r w:rsidR="009A4567" w:rsidRPr="00AB5A46">
        <w:rPr>
          <w:rFonts w:ascii="Times New Roman" w:hAnsi="Times New Roman" w:cs="Times New Roman"/>
        </w:rPr>
        <w:t xml:space="preserve">things SJSU </w:t>
      </w:r>
      <w:proofErr w:type="gramStart"/>
      <w:r w:rsidR="009A4567" w:rsidRPr="00AB5A46">
        <w:rPr>
          <w:rFonts w:ascii="Times New Roman" w:hAnsi="Times New Roman" w:cs="Times New Roman"/>
        </w:rPr>
        <w:t>profs</w:t>
      </w:r>
      <w:proofErr w:type="gramEnd"/>
      <w:r w:rsidR="009A4567" w:rsidRPr="00AB5A46">
        <w:rPr>
          <w:rFonts w:ascii="Times New Roman" w:hAnsi="Times New Roman" w:cs="Times New Roman"/>
        </w:rPr>
        <w:t xml:space="preserve"> and support staff can still do for them, and </w:t>
      </w:r>
      <w:r w:rsidRPr="00AB5A46">
        <w:rPr>
          <w:rFonts w:ascii="Times New Roman" w:hAnsi="Times New Roman" w:cs="Times New Roman"/>
        </w:rPr>
        <w:t>alternative paths they could take</w:t>
      </w:r>
      <w:r w:rsidR="009A4567" w:rsidRPr="00AB5A46">
        <w:rPr>
          <w:rFonts w:ascii="Times New Roman" w:hAnsi="Times New Roman" w:cs="Times New Roman"/>
        </w:rPr>
        <w:t xml:space="preserve"> (a gap year, service learning, internship/apprenticeship programs, vocational programs)</w:t>
      </w:r>
      <w:r w:rsidRPr="00AB5A46">
        <w:rPr>
          <w:rFonts w:ascii="Times New Roman" w:hAnsi="Times New Roman" w:cs="Times New Roman"/>
        </w:rPr>
        <w:t>.</w:t>
      </w:r>
    </w:p>
    <w:p w:rsidR="008414C8" w:rsidRPr="00AB5A46" w:rsidRDefault="008414C8" w:rsidP="0025354E">
      <w:pPr>
        <w:pStyle w:val="ListParagraph"/>
        <w:numPr>
          <w:ilvl w:val="0"/>
          <w:numId w:val="1"/>
        </w:numPr>
        <w:rPr>
          <w:rFonts w:ascii="Times New Roman" w:hAnsi="Times New Roman" w:cs="Times New Roman"/>
        </w:rPr>
      </w:pPr>
      <w:r w:rsidRPr="00AB5A46">
        <w:rPr>
          <w:rFonts w:ascii="Times New Roman" w:hAnsi="Times New Roman" w:cs="Times New Roman"/>
        </w:rPr>
        <w:t xml:space="preserve">Suggest ways we (all of us at SJSU) can nurture the ones who do come to college with hungry minds, and how we can try </w:t>
      </w:r>
      <w:r w:rsidR="009A4567" w:rsidRPr="00AB5A46">
        <w:rPr>
          <w:rFonts w:ascii="Times New Roman" w:hAnsi="Times New Roman" w:cs="Times New Roman"/>
        </w:rPr>
        <w:t xml:space="preserve">to </w:t>
      </w:r>
      <w:r w:rsidRPr="00AB5A46">
        <w:rPr>
          <w:rFonts w:ascii="Times New Roman" w:hAnsi="Times New Roman" w:cs="Times New Roman"/>
        </w:rPr>
        <w:t>stoke the appetites of the merely unengaged (as opposed to the actively disengaged ones) to increase the ranks of the hungry.</w:t>
      </w:r>
      <w:r w:rsidR="009A4567" w:rsidRPr="00AB5A46">
        <w:rPr>
          <w:rFonts w:ascii="Times New Roman" w:hAnsi="Times New Roman" w:cs="Times New Roman"/>
        </w:rPr>
        <w:t xml:space="preserve"> The primary strategies I’d argue for are these: model enthusiasm for learning ourselves, support and encourage the hungry ones in any way we can, be gentle and encouraging with the unengaged ones, avoid being harsh with the disengaged ones, but don’t let them drag down the class, either, or think the rules will be bent for </w:t>
      </w:r>
      <w:r w:rsidR="00AB5A46" w:rsidRPr="00AB5A46">
        <w:rPr>
          <w:rFonts w:ascii="Times New Roman" w:hAnsi="Times New Roman" w:cs="Times New Roman"/>
        </w:rPr>
        <w:t>them.</w:t>
      </w:r>
    </w:p>
    <w:p w:rsidR="008414C8" w:rsidRPr="00AB5A46" w:rsidRDefault="008414C8" w:rsidP="008414C8">
      <w:pPr>
        <w:rPr>
          <w:rFonts w:ascii="Times New Roman" w:hAnsi="Times New Roman" w:cs="Times New Roman"/>
        </w:rPr>
      </w:pPr>
      <w:r w:rsidRPr="00AB5A46">
        <w:rPr>
          <w:rFonts w:ascii="Times New Roman" w:hAnsi="Times New Roman" w:cs="Times New Roman"/>
          <w:b/>
        </w:rPr>
        <w:t>Conclusion</w:t>
      </w:r>
      <w:r w:rsidRPr="00AB5A46">
        <w:rPr>
          <w:rFonts w:ascii="Times New Roman" w:hAnsi="Times New Roman" w:cs="Times New Roman"/>
        </w:rPr>
        <w:t xml:space="preserve">: </w:t>
      </w:r>
      <w:r w:rsidR="00AB5A46">
        <w:rPr>
          <w:rFonts w:ascii="Times New Roman" w:hAnsi="Times New Roman" w:cs="Times New Roman"/>
        </w:rPr>
        <w:t xml:space="preserve">I’d </w:t>
      </w:r>
      <w:r w:rsidRPr="00AB5A46">
        <w:rPr>
          <w:rFonts w:ascii="Times New Roman" w:hAnsi="Times New Roman" w:cs="Times New Roman"/>
        </w:rPr>
        <w:t xml:space="preserve">reaffirm the value of </w:t>
      </w:r>
      <w:r w:rsidR="00AB5A46">
        <w:rPr>
          <w:rFonts w:ascii="Times New Roman" w:hAnsi="Times New Roman" w:cs="Times New Roman"/>
        </w:rPr>
        <w:t xml:space="preserve">the already hungry </w:t>
      </w:r>
      <w:r w:rsidRPr="00AB5A46">
        <w:rPr>
          <w:rFonts w:ascii="Times New Roman" w:hAnsi="Times New Roman" w:cs="Times New Roman"/>
        </w:rPr>
        <w:t>students who light up t</w:t>
      </w:r>
      <w:r w:rsidR="00AB5A46">
        <w:rPr>
          <w:rFonts w:ascii="Times New Roman" w:hAnsi="Times New Roman" w:cs="Times New Roman"/>
        </w:rPr>
        <w:t>he classrooms with their energy</w:t>
      </w:r>
      <w:r w:rsidRPr="00AB5A46">
        <w:rPr>
          <w:rFonts w:ascii="Times New Roman" w:hAnsi="Times New Roman" w:cs="Times New Roman"/>
        </w:rPr>
        <w:t xml:space="preserve"> and who call forth the best performance from their fellow</w:t>
      </w:r>
      <w:r w:rsidR="00AB5A46">
        <w:rPr>
          <w:rFonts w:ascii="Times New Roman" w:hAnsi="Times New Roman" w:cs="Times New Roman"/>
        </w:rPr>
        <w:t xml:space="preserve"> students and their professors, and I’d encourage my fellow faculty to do everything they can to nurture this spirit in all of our students. </w:t>
      </w:r>
    </w:p>
    <w:sectPr w:rsidR="008414C8" w:rsidRPr="00AB5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30285"/>
    <w:multiLevelType w:val="hybridMultilevel"/>
    <w:tmpl w:val="7CAAF712"/>
    <w:lvl w:ilvl="0" w:tplc="8FFE8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18C"/>
    <w:rsid w:val="00014CD6"/>
    <w:rsid w:val="002147AA"/>
    <w:rsid w:val="0025354E"/>
    <w:rsid w:val="006B418C"/>
    <w:rsid w:val="008414C8"/>
    <w:rsid w:val="009A4567"/>
    <w:rsid w:val="00AB5A46"/>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79320-0162-465D-BC48-0C13D446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2016-09-15T17:38:00Z</dcterms:created>
  <dcterms:modified xsi:type="dcterms:W3CDTF">2016-09-15T18:29:00Z</dcterms:modified>
</cp:coreProperties>
</file>